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06FB" w14:textId="77777777" w:rsidR="008316BC" w:rsidRPr="008316BC" w:rsidRDefault="008316BC" w:rsidP="008316BC">
      <w:pPr>
        <w:spacing w:line="360" w:lineRule="auto"/>
        <w:rPr>
          <w:rFonts w:ascii="黑体" w:eastAsia="黑体" w:hAnsi="黑体" w:cs="黑体"/>
          <w:sz w:val="30"/>
          <w:szCs w:val="30"/>
          <w14:ligatures w14:val="standardContextual"/>
        </w:rPr>
      </w:pPr>
      <w:r w:rsidRPr="008316BC">
        <w:rPr>
          <w:rFonts w:ascii="黑体" w:eastAsia="黑体" w:hAnsi="黑体" w:cs="黑体" w:hint="eastAsia"/>
          <w:sz w:val="30"/>
          <w:szCs w:val="30"/>
          <w14:ligatures w14:val="standardContextual"/>
        </w:rPr>
        <w:t>附件</w:t>
      </w:r>
    </w:p>
    <w:p w14:paraId="4283A014" w14:textId="77777777" w:rsidR="008316BC" w:rsidRPr="008316BC" w:rsidRDefault="008316BC" w:rsidP="008316BC">
      <w:pPr>
        <w:spacing w:line="360" w:lineRule="auto"/>
        <w:rPr>
          <w:rFonts w:ascii="仿宋" w:eastAsia="仿宋" w:hAnsi="仿宋" w:cs="黑体"/>
          <w:sz w:val="32"/>
          <w:szCs w:val="32"/>
          <w14:ligatures w14:val="standardContextual"/>
        </w:rPr>
      </w:pPr>
    </w:p>
    <w:p w14:paraId="4EA0F163" w14:textId="77777777" w:rsidR="008316BC" w:rsidRPr="008316BC" w:rsidRDefault="008316BC" w:rsidP="008316BC">
      <w:pPr>
        <w:jc w:val="center"/>
        <w:rPr>
          <w:rFonts w:ascii="宋体" w:eastAsia="宋体" w:hAnsi="宋体" w:cs="方正小标宋简体"/>
          <w:b/>
          <w:bCs/>
          <w:sz w:val="40"/>
          <w:szCs w:val="48"/>
          <w14:ligatures w14:val="standardContextual"/>
        </w:rPr>
      </w:pPr>
      <w:r w:rsidRPr="008316BC">
        <w:rPr>
          <w:rFonts w:ascii="宋体" w:eastAsia="宋体" w:hAnsi="宋体" w:cs="方正小标宋简体" w:hint="eastAsia"/>
          <w:b/>
          <w:bCs/>
          <w:sz w:val="40"/>
          <w:szCs w:val="48"/>
          <w14:ligatures w14:val="standardContextual"/>
        </w:rPr>
        <w:t>关于渔用新兽药研发与申报注册的相关建议</w:t>
      </w:r>
    </w:p>
    <w:p w14:paraId="0F593FCE" w14:textId="77777777" w:rsidR="008316BC" w:rsidRPr="008316BC" w:rsidRDefault="008316BC" w:rsidP="008316BC">
      <w:pPr>
        <w:spacing w:line="360" w:lineRule="auto"/>
        <w:rPr>
          <w:rFonts w:ascii="仿宋" w:eastAsia="仿宋" w:hAnsi="仿宋" w:cs="方正小标宋简体"/>
          <w:b/>
          <w:bCs/>
          <w:sz w:val="32"/>
          <w:szCs w:val="32"/>
          <w14:ligatures w14:val="standardContextual"/>
        </w:rPr>
      </w:pPr>
    </w:p>
    <w:p w14:paraId="6DF17755" w14:textId="77777777" w:rsidR="008316BC" w:rsidRPr="008316BC" w:rsidRDefault="008316BC" w:rsidP="008316BC">
      <w:pPr>
        <w:adjustRightInd w:val="0"/>
        <w:snapToGrid w:val="0"/>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2024年，我国水产养殖产量达到6060万吨，为乡村经济结构调整、新渔村经济建设做出了重要贡献。但每年因病害造成的经济损失高达500多亿元，对渔业生产安全、水产品质量安全、生态环境安全构成重大的威胁，成为制约水产养殖业绿色高质量发展的主要瓶颈。在病害防控中药物起到不可替代的作用，近年来畜禽等养殖动物病害防控药物的研发和注册取得了长足的进步，形成了一大批新兽药注册证书和生产文号，较好的满足了产业的发展需求。然而，渔用药物的研发却严重滞后，20多年来仅有十</w:t>
      </w:r>
      <w:proofErr w:type="gramStart"/>
      <w:r w:rsidRPr="008316BC">
        <w:rPr>
          <w:rFonts w:ascii="仿宋" w:eastAsia="仿宋" w:hAnsi="仿宋" w:cs="方正仿宋_GB2312" w:hint="eastAsia"/>
          <w:sz w:val="32"/>
          <w:szCs w:val="32"/>
          <w14:ligatures w14:val="standardContextual"/>
        </w:rPr>
        <w:t>几种渔药获得</w:t>
      </w:r>
      <w:proofErr w:type="gramEnd"/>
      <w:r w:rsidRPr="008316BC">
        <w:rPr>
          <w:rFonts w:ascii="仿宋" w:eastAsia="仿宋" w:hAnsi="仿宋" w:cs="方正仿宋_GB2312" w:hint="eastAsia"/>
          <w:sz w:val="32"/>
          <w:szCs w:val="32"/>
          <w14:ligatures w14:val="standardContextual"/>
        </w:rPr>
        <w:t>新兽药注册证书，而水产养殖病害的种类多达数百种，远远满足不了产业发展</w:t>
      </w:r>
      <w:proofErr w:type="gramStart"/>
      <w:r w:rsidRPr="008316BC">
        <w:rPr>
          <w:rFonts w:ascii="仿宋" w:eastAsia="仿宋" w:hAnsi="仿宋" w:cs="方正仿宋_GB2312" w:hint="eastAsia"/>
          <w:sz w:val="32"/>
          <w:szCs w:val="32"/>
          <w14:ligatures w14:val="standardContextual"/>
        </w:rPr>
        <w:t>对渔药产品</w:t>
      </w:r>
      <w:proofErr w:type="gramEnd"/>
      <w:r w:rsidRPr="008316BC">
        <w:rPr>
          <w:rFonts w:ascii="仿宋" w:eastAsia="仿宋" w:hAnsi="仿宋" w:cs="方正仿宋_GB2312" w:hint="eastAsia"/>
          <w:sz w:val="32"/>
          <w:szCs w:val="32"/>
          <w14:ligatures w14:val="standardContextual"/>
        </w:rPr>
        <w:t>的迫切需求。为</w:t>
      </w:r>
      <w:proofErr w:type="gramStart"/>
      <w:r w:rsidRPr="008316BC">
        <w:rPr>
          <w:rFonts w:ascii="仿宋" w:eastAsia="仿宋" w:hAnsi="仿宋" w:cs="方正仿宋_GB2312" w:hint="eastAsia"/>
          <w:sz w:val="32"/>
          <w:szCs w:val="32"/>
          <w14:ligatures w14:val="standardContextual"/>
        </w:rPr>
        <w:t>加快渔药的</w:t>
      </w:r>
      <w:proofErr w:type="gramEnd"/>
      <w:r w:rsidRPr="008316BC">
        <w:rPr>
          <w:rFonts w:ascii="仿宋" w:eastAsia="仿宋" w:hAnsi="仿宋" w:cs="方正仿宋_GB2312" w:hint="eastAsia"/>
          <w:sz w:val="32"/>
          <w:szCs w:val="32"/>
          <w14:ligatures w14:val="standardContextual"/>
        </w:rPr>
        <w:t>研发和注册审批速度，中国渔业</w:t>
      </w:r>
      <w:proofErr w:type="gramStart"/>
      <w:r w:rsidRPr="008316BC">
        <w:rPr>
          <w:rFonts w:ascii="仿宋" w:eastAsia="仿宋" w:hAnsi="仿宋" w:cs="方正仿宋_GB2312" w:hint="eastAsia"/>
          <w:sz w:val="32"/>
          <w:szCs w:val="32"/>
          <w14:ligatures w14:val="standardContextual"/>
        </w:rPr>
        <w:t>协会渔药与</w:t>
      </w:r>
      <w:proofErr w:type="gramEnd"/>
      <w:r w:rsidRPr="008316BC">
        <w:rPr>
          <w:rFonts w:ascii="仿宋" w:eastAsia="仿宋" w:hAnsi="仿宋" w:cs="方正仿宋_GB2312" w:hint="eastAsia"/>
          <w:sz w:val="32"/>
          <w:szCs w:val="32"/>
          <w14:ligatures w14:val="standardContextual"/>
        </w:rPr>
        <w:t>调水用品分会组织专家对</w:t>
      </w:r>
      <w:proofErr w:type="gramStart"/>
      <w:r w:rsidRPr="008316BC">
        <w:rPr>
          <w:rFonts w:ascii="仿宋" w:eastAsia="仿宋" w:hAnsi="仿宋" w:cs="方正仿宋_GB2312" w:hint="eastAsia"/>
          <w:sz w:val="32"/>
          <w:szCs w:val="32"/>
          <w14:ligatures w14:val="standardContextual"/>
        </w:rPr>
        <w:t>从事渔药研发</w:t>
      </w:r>
      <w:proofErr w:type="gramEnd"/>
      <w:r w:rsidRPr="008316BC">
        <w:rPr>
          <w:rFonts w:ascii="仿宋" w:eastAsia="仿宋" w:hAnsi="仿宋" w:cs="方正仿宋_GB2312" w:hint="eastAsia"/>
          <w:sz w:val="32"/>
          <w:szCs w:val="32"/>
          <w14:ligatures w14:val="standardContextual"/>
        </w:rPr>
        <w:t>和生产的科研院所、企业进行了调研，通过与相关人员进行座谈和交流，对大家就目前渔用新兽药研发和申报注册中存在的问题和提出的建议，汇总整理如下：</w:t>
      </w:r>
    </w:p>
    <w:p w14:paraId="637BEC3E" w14:textId="77777777" w:rsidR="008316BC" w:rsidRPr="008316BC" w:rsidRDefault="008316BC" w:rsidP="008316BC">
      <w:pPr>
        <w:adjustRightInd w:val="0"/>
        <w:snapToGrid w:val="0"/>
        <w:spacing w:beforeLines="100" w:before="312" w:line="360" w:lineRule="auto"/>
        <w:ind w:firstLineChars="200" w:firstLine="640"/>
        <w:rPr>
          <w:rFonts w:ascii="黑体" w:eastAsia="黑体" w:hAnsi="黑体" w:cs="黑体"/>
          <w:sz w:val="32"/>
          <w:szCs w:val="32"/>
          <w14:ligatures w14:val="standardContextual"/>
        </w:rPr>
      </w:pPr>
      <w:r w:rsidRPr="008316BC">
        <w:rPr>
          <w:rFonts w:ascii="黑体" w:eastAsia="黑体" w:hAnsi="黑体" w:cs="黑体" w:hint="eastAsia"/>
          <w:sz w:val="32"/>
          <w:szCs w:val="32"/>
          <w14:ligatures w14:val="standardContextual"/>
        </w:rPr>
        <w:t>一、政策方面</w:t>
      </w:r>
    </w:p>
    <w:p w14:paraId="2422E3D0"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1、水产养殖的季节性强，通常</w:t>
      </w:r>
      <w:proofErr w:type="gramStart"/>
      <w:r w:rsidRPr="008316BC">
        <w:rPr>
          <w:rFonts w:ascii="仿宋" w:eastAsia="仿宋" w:hAnsi="仿宋" w:cs="方正仿宋_GB2312" w:hint="eastAsia"/>
          <w:sz w:val="32"/>
          <w:szCs w:val="32"/>
          <w14:ligatures w14:val="standardContextual"/>
        </w:rPr>
        <w:t>渔药每年</w:t>
      </w:r>
      <w:proofErr w:type="gramEnd"/>
      <w:r w:rsidRPr="008316BC">
        <w:rPr>
          <w:rFonts w:ascii="仿宋" w:eastAsia="仿宋" w:hAnsi="仿宋" w:cs="方正仿宋_GB2312" w:hint="eastAsia"/>
          <w:sz w:val="32"/>
          <w:szCs w:val="32"/>
          <w14:ligatures w14:val="standardContextual"/>
        </w:rPr>
        <w:t>只能销售4~5个月，市场销售时间明显少于畜禽兽药，以监测期为5年</w:t>
      </w:r>
      <w:proofErr w:type="gramStart"/>
      <w:r w:rsidRPr="008316BC">
        <w:rPr>
          <w:rFonts w:ascii="仿宋" w:eastAsia="仿宋" w:hAnsi="仿宋" w:cs="方正仿宋_GB2312" w:hint="eastAsia"/>
          <w:sz w:val="32"/>
          <w:szCs w:val="32"/>
          <w14:ligatures w14:val="standardContextual"/>
        </w:rPr>
        <w:t>的渔</w:t>
      </w:r>
      <w:r w:rsidRPr="008316BC">
        <w:rPr>
          <w:rFonts w:ascii="仿宋" w:eastAsia="仿宋" w:hAnsi="仿宋" w:cs="方正仿宋_GB2312" w:hint="eastAsia"/>
          <w:sz w:val="32"/>
          <w:szCs w:val="32"/>
          <w14:ligatures w14:val="standardContextual"/>
        </w:rPr>
        <w:lastRenderedPageBreak/>
        <w:t>药为例</w:t>
      </w:r>
      <w:proofErr w:type="gramEnd"/>
      <w:r w:rsidRPr="008316BC">
        <w:rPr>
          <w:rFonts w:ascii="仿宋" w:eastAsia="仿宋" w:hAnsi="仿宋" w:cs="方正仿宋_GB2312" w:hint="eastAsia"/>
          <w:sz w:val="32"/>
          <w:szCs w:val="32"/>
          <w14:ligatures w14:val="standardContextual"/>
        </w:rPr>
        <w:t>，其实际市场销售时间基本不到3年，无法全面反映出药物的疗效和不良反应，同时原</w:t>
      </w:r>
      <w:proofErr w:type="gramStart"/>
      <w:r w:rsidRPr="008316BC">
        <w:rPr>
          <w:rFonts w:ascii="仿宋" w:eastAsia="仿宋" w:hAnsi="仿宋" w:cs="方正仿宋_GB2312" w:hint="eastAsia"/>
          <w:sz w:val="32"/>
          <w:szCs w:val="32"/>
          <w14:ligatures w14:val="standardContextual"/>
        </w:rPr>
        <w:t>研</w:t>
      </w:r>
      <w:proofErr w:type="gramEnd"/>
      <w:r w:rsidRPr="008316BC">
        <w:rPr>
          <w:rFonts w:ascii="仿宋" w:eastAsia="仿宋" w:hAnsi="仿宋" w:cs="方正仿宋_GB2312" w:hint="eastAsia"/>
          <w:sz w:val="32"/>
          <w:szCs w:val="32"/>
          <w14:ligatures w14:val="standardContextual"/>
        </w:rPr>
        <w:t>单位在短期内也很难实现新药的全面营销，在这种情况下原</w:t>
      </w:r>
      <w:proofErr w:type="gramStart"/>
      <w:r w:rsidRPr="008316BC">
        <w:rPr>
          <w:rFonts w:ascii="仿宋" w:eastAsia="仿宋" w:hAnsi="仿宋" w:cs="方正仿宋_GB2312" w:hint="eastAsia"/>
          <w:sz w:val="32"/>
          <w:szCs w:val="32"/>
          <w14:ligatures w14:val="standardContextual"/>
        </w:rPr>
        <w:t>研</w:t>
      </w:r>
      <w:proofErr w:type="gramEnd"/>
      <w:r w:rsidRPr="008316BC">
        <w:rPr>
          <w:rFonts w:ascii="仿宋" w:eastAsia="仿宋" w:hAnsi="仿宋" w:cs="方正仿宋_GB2312" w:hint="eastAsia"/>
          <w:sz w:val="32"/>
          <w:szCs w:val="32"/>
          <w14:ligatures w14:val="standardContextual"/>
        </w:rPr>
        <w:t>单位基本无法在5年内收回研发成本，加之新药很难通过专利形成实际的知识产权保护，造成科研院所及兽药企业参与渔用药物研发的积极性不强。因此，建议延长渔用新兽药的监测期，一类新药监测期为10年，二类新药监测期为8年，三、四类新药监测期为5年。</w:t>
      </w:r>
    </w:p>
    <w:p w14:paraId="698A5B81"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2、现有新兽药研发技术指导原则多数基于畜禽等陆生动物的生物习性而设定。而水产动物品种多达数百种，鱼、虾、蟹、贝、参等不同水产动物的生活环境、生活习性、生理结构等与陆生动物差别很大，现有技术指导原则不能满足水产动物新兽药的研发和注册申报需求。因此，建议依据不同水产动物生理习性修订和制订渔用药物研发的技术指导原则，并增加适用于鱼类的证候类中兽药临床研究相关的技术指导原则。</w:t>
      </w:r>
    </w:p>
    <w:p w14:paraId="7BE565DC" w14:textId="77777777" w:rsidR="008316BC" w:rsidRPr="008316BC" w:rsidRDefault="008316BC" w:rsidP="008316BC">
      <w:pPr>
        <w:widowControl/>
        <w:spacing w:line="360" w:lineRule="auto"/>
        <w:ind w:firstLineChars="200" w:firstLine="640"/>
        <w:rPr>
          <w:rFonts w:ascii="仿宋" w:eastAsia="仿宋" w:hAnsi="仿宋" w:cs="方正仿宋_GB2312"/>
          <w:b/>
          <w:bCs/>
          <w:sz w:val="32"/>
          <w:szCs w:val="32"/>
          <w14:ligatures w14:val="standardContextual"/>
        </w:rPr>
      </w:pPr>
      <w:r w:rsidRPr="008316BC">
        <w:rPr>
          <w:rFonts w:ascii="仿宋" w:eastAsia="仿宋" w:hAnsi="仿宋" w:cs="方正仿宋_GB2312" w:hint="eastAsia"/>
          <w:sz w:val="32"/>
          <w:szCs w:val="32"/>
          <w14:ligatures w14:val="standardContextual"/>
        </w:rPr>
        <w:t>3、水产养殖病毒病众多，鱼用注射疫苗的推广应用困难，口服和浸泡疫苗研发滞后，并且虾、贝、参、蟹等无脊椎动物不具有特异性免疫系统，不能使用疫苗，致使病毒病的防控难度很大。而目前中药防治病毒病的效果良好，可以作为防治水产动物病毒病的有力补充，但抗病毒中药的产品</w:t>
      </w:r>
      <w:proofErr w:type="gramStart"/>
      <w:r w:rsidRPr="008316BC">
        <w:rPr>
          <w:rFonts w:ascii="仿宋" w:eastAsia="仿宋" w:hAnsi="仿宋" w:cs="方正仿宋_GB2312" w:hint="eastAsia"/>
          <w:sz w:val="32"/>
          <w:szCs w:val="32"/>
          <w14:ligatures w14:val="standardContextual"/>
        </w:rPr>
        <w:t>缺失</w:t>
      </w:r>
      <w:r w:rsidRPr="008316BC">
        <w:rPr>
          <w:rFonts w:ascii="仿宋" w:eastAsia="仿宋" w:hAnsi="仿宋" w:cs="方正仿宋_GB2312" w:hint="eastAsia"/>
          <w:sz w:val="32"/>
          <w:szCs w:val="32"/>
          <w14:ligatures w14:val="standardContextual"/>
        </w:rPr>
        <w:lastRenderedPageBreak/>
        <w:t>且</w:t>
      </w:r>
      <w:proofErr w:type="gramEnd"/>
      <w:r w:rsidRPr="008316BC">
        <w:rPr>
          <w:rFonts w:ascii="仿宋" w:eastAsia="仿宋" w:hAnsi="仿宋" w:cs="方正仿宋_GB2312" w:hint="eastAsia"/>
          <w:sz w:val="32"/>
          <w:szCs w:val="32"/>
          <w14:ligatures w14:val="standardContextual"/>
        </w:rPr>
        <w:t>注册申报面临政策困境。因此，建议评审中心加以重视，加大对水产抗病毒药物的申报支持力度。</w:t>
      </w:r>
    </w:p>
    <w:p w14:paraId="2A81AEBF" w14:textId="77777777" w:rsidR="008316BC" w:rsidRPr="008316BC" w:rsidRDefault="008316BC" w:rsidP="008316BC">
      <w:pPr>
        <w:adjustRightInd w:val="0"/>
        <w:snapToGrid w:val="0"/>
        <w:spacing w:beforeLines="100" w:before="312" w:line="360" w:lineRule="auto"/>
        <w:ind w:firstLineChars="200" w:firstLine="640"/>
        <w:rPr>
          <w:rFonts w:ascii="黑体" w:eastAsia="黑体" w:hAnsi="黑体" w:cs="黑体"/>
          <w:sz w:val="32"/>
          <w:szCs w:val="32"/>
          <w14:ligatures w14:val="standardContextual"/>
        </w:rPr>
      </w:pPr>
      <w:r w:rsidRPr="008316BC">
        <w:rPr>
          <w:rFonts w:ascii="黑体" w:eastAsia="黑体" w:hAnsi="黑体" w:cs="黑体" w:hint="eastAsia"/>
          <w:sz w:val="32"/>
          <w:szCs w:val="32"/>
          <w14:ligatures w14:val="standardContextual"/>
        </w:rPr>
        <w:t>二、技术指导原则方面</w:t>
      </w:r>
    </w:p>
    <w:p w14:paraId="4C1998BF" w14:textId="77777777" w:rsidR="008316BC" w:rsidRPr="008316BC" w:rsidRDefault="008316BC" w:rsidP="008316BC">
      <w:pPr>
        <w:adjustRightInd w:val="0"/>
        <w:snapToGrid w:val="0"/>
        <w:spacing w:beforeLines="100" w:before="312" w:line="360" w:lineRule="auto"/>
        <w:ind w:firstLineChars="100" w:firstLine="321"/>
        <w:rPr>
          <w:rFonts w:ascii="楷体" w:eastAsia="楷体" w:hAnsi="楷体" w:cs="方正仿宋_GB2312"/>
          <w:b/>
          <w:bCs/>
          <w:sz w:val="32"/>
          <w:szCs w:val="32"/>
          <w14:ligatures w14:val="standardContextual"/>
        </w:rPr>
      </w:pPr>
      <w:r w:rsidRPr="008316BC">
        <w:rPr>
          <w:rFonts w:ascii="楷体" w:eastAsia="楷体" w:hAnsi="楷体" w:cs="方正仿宋_GB2312" w:hint="eastAsia"/>
          <w:b/>
          <w:bCs/>
          <w:sz w:val="32"/>
          <w:szCs w:val="32"/>
          <w14:ligatures w14:val="standardContextual"/>
        </w:rPr>
        <w:t>（一）生物制品</w:t>
      </w:r>
    </w:p>
    <w:p w14:paraId="0D05BC8B"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1、建议已完成专家征求意见的《水生动物疫苗注册资料要求》、《水生动物疫苗实验室安全试验技术指导原则》、《水生动物疫苗实验室效力试验技术指导原则》能尽早颁布实施。</w:t>
      </w:r>
    </w:p>
    <w:p w14:paraId="301EDC37"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2、针对水产养殖中的各类鱼种，养殖企业或申请人往往不具有实验动物合格证及实验动物使用许可证等文件。注册资料中，实验动物合格证、实验动物使用许可证等证件建议调整为提供“养殖品种（品系）证书或相关证明资料”。</w:t>
      </w:r>
    </w:p>
    <w:p w14:paraId="2AF2FAE8"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3、对易感宿主广泛的同种属病原引起的同类疾病，实验室阶段的安全性和有效性评价可选择多种鱼类作为评价靶动物，但在临床试验中允许减少</w:t>
      </w:r>
      <w:proofErr w:type="gramStart"/>
      <w:r w:rsidRPr="008316BC">
        <w:rPr>
          <w:rFonts w:ascii="仿宋" w:eastAsia="仿宋" w:hAnsi="仿宋" w:cs="方正仿宋_GB2312" w:hint="eastAsia"/>
          <w:sz w:val="32"/>
          <w:szCs w:val="32"/>
          <w14:ligatures w14:val="standardContextual"/>
        </w:rPr>
        <w:t>靶动物</w:t>
      </w:r>
      <w:proofErr w:type="gramEnd"/>
      <w:r w:rsidRPr="008316BC">
        <w:rPr>
          <w:rFonts w:ascii="仿宋" w:eastAsia="仿宋" w:hAnsi="仿宋" w:cs="方正仿宋_GB2312" w:hint="eastAsia"/>
          <w:sz w:val="32"/>
          <w:szCs w:val="32"/>
          <w14:ligatures w14:val="standardContextual"/>
        </w:rPr>
        <w:t>种类，只选代表性的1种</w:t>
      </w:r>
      <w:proofErr w:type="gramStart"/>
      <w:r w:rsidRPr="008316BC">
        <w:rPr>
          <w:rFonts w:ascii="仿宋" w:eastAsia="仿宋" w:hAnsi="仿宋" w:cs="方正仿宋_GB2312" w:hint="eastAsia"/>
          <w:sz w:val="32"/>
          <w:szCs w:val="32"/>
          <w14:ligatures w14:val="standardContextual"/>
        </w:rPr>
        <w:t>靶动物</w:t>
      </w:r>
      <w:proofErr w:type="gramEnd"/>
      <w:r w:rsidRPr="008316BC">
        <w:rPr>
          <w:rFonts w:ascii="仿宋" w:eastAsia="仿宋" w:hAnsi="仿宋" w:cs="方正仿宋_GB2312" w:hint="eastAsia"/>
          <w:sz w:val="32"/>
          <w:szCs w:val="32"/>
          <w14:ligatures w14:val="standardContextual"/>
        </w:rPr>
        <w:t>完成临床试验。</w:t>
      </w:r>
    </w:p>
    <w:p w14:paraId="4690505A"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4、鱼类品种繁多、生活习性迥异，且养殖地域和水域生态对鱼类的养殖影响极大。目前指导原则中对GCP临床试验提出了区域要求，导致临床试验和复核评价受到影响。建议关于临床试验和复核检核的攻毒试验场地由疫苗申报单位推荐合适场地配合中监所完成。</w:t>
      </w:r>
    </w:p>
    <w:p w14:paraId="29675DC5"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lastRenderedPageBreak/>
        <w:t>5、中间试制产品在中试企业使用</w:t>
      </w:r>
      <w:proofErr w:type="gramStart"/>
      <w:r w:rsidRPr="008316BC">
        <w:rPr>
          <w:rFonts w:ascii="仿宋" w:eastAsia="仿宋" w:hAnsi="仿宋" w:cs="方正仿宋_GB2312" w:hint="eastAsia"/>
          <w:sz w:val="32"/>
          <w:szCs w:val="32"/>
          <w14:ligatures w14:val="standardContextual"/>
        </w:rPr>
        <w:t>靶动物</w:t>
      </w:r>
      <w:proofErr w:type="gramEnd"/>
      <w:r w:rsidRPr="008316BC">
        <w:rPr>
          <w:rFonts w:ascii="仿宋" w:eastAsia="仿宋" w:hAnsi="仿宋" w:cs="方正仿宋_GB2312" w:hint="eastAsia"/>
          <w:sz w:val="32"/>
          <w:szCs w:val="32"/>
          <w14:ligatures w14:val="standardContextual"/>
        </w:rPr>
        <w:t>进行产品安全效力检验时，如果靶动物（如大黄鱼等应激反应较强的鱼类）需进行长距离活鱼运输，因应激反应导致死亡率高进而无法在中试企业动物房内施行室内养殖时，可允许在鱼类养殖产区（异地）符合GMP相关要求的水产动物实验房/合</w:t>
      </w:r>
      <w:proofErr w:type="gramStart"/>
      <w:r w:rsidRPr="008316BC">
        <w:rPr>
          <w:rFonts w:ascii="仿宋" w:eastAsia="仿宋" w:hAnsi="仿宋" w:cs="方正仿宋_GB2312" w:hint="eastAsia"/>
          <w:sz w:val="32"/>
          <w:szCs w:val="32"/>
          <w14:ligatures w14:val="standardContextual"/>
        </w:rPr>
        <w:t>规</w:t>
      </w:r>
      <w:proofErr w:type="gramEnd"/>
      <w:r w:rsidRPr="008316BC">
        <w:rPr>
          <w:rFonts w:ascii="仿宋" w:eastAsia="仿宋" w:hAnsi="仿宋" w:cs="方正仿宋_GB2312" w:hint="eastAsia"/>
          <w:sz w:val="32"/>
          <w:szCs w:val="32"/>
          <w14:ligatures w14:val="standardContextual"/>
        </w:rPr>
        <w:t>实验室完成质量检验，并出具检验报告（即异地检验）。</w:t>
      </w:r>
    </w:p>
    <w:p w14:paraId="7D851692"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6、建议鱼类疫苗有效性评价中，攻毒后，只规定对照组必须达到的死亡数或发病数，免疫组的死亡情况或发病情况不用具体的尾数表示，而采用相对保护率RPS来表示。此外，鱼类属于低等变温动物，其免疫应答的稳定性与高等哺乳动物存在较大差异，不同批次、季节、产地的养殖动物在毒株敏感性、免疫应答强弱等方面存在差异。上述因素导致疫苗接种所产生的免疫保护</w:t>
      </w:r>
      <w:proofErr w:type="gramStart"/>
      <w:r w:rsidRPr="008316BC">
        <w:rPr>
          <w:rFonts w:ascii="仿宋" w:eastAsia="仿宋" w:hAnsi="仿宋" w:cs="方正仿宋_GB2312" w:hint="eastAsia"/>
          <w:sz w:val="32"/>
          <w:szCs w:val="32"/>
          <w14:ligatures w14:val="standardContextual"/>
        </w:rPr>
        <w:t>力存在</w:t>
      </w:r>
      <w:proofErr w:type="gramEnd"/>
      <w:r w:rsidRPr="008316BC">
        <w:rPr>
          <w:rFonts w:ascii="仿宋" w:eastAsia="仿宋" w:hAnsi="仿宋" w:cs="方正仿宋_GB2312" w:hint="eastAsia"/>
          <w:sz w:val="32"/>
          <w:szCs w:val="32"/>
          <w14:ligatures w14:val="standardContextual"/>
        </w:rPr>
        <w:t>较大波动。欧洲药典中鱼用疫苗常采用RPS60法进行效力评价，即在对照组累计死亡率为60%时，统计实验组的相对保护率，这种评价方法对于效力评价体系中的各种波动因素具有较好的兼容性，有效推动了国外水产疫苗的快速发展。因此，建议国内在水产疫苗效力评价中采用RPS60法。</w:t>
      </w:r>
    </w:p>
    <w:p w14:paraId="75BFCE3B"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7、对“最小免疫剂量”，建议结合疫苗施用的不同途径如注射、口服和浸泡等，可适当降低水产疫苗有效性评价标准。</w:t>
      </w:r>
    </w:p>
    <w:p w14:paraId="5A579C8D"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lastRenderedPageBreak/>
        <w:t>8、《水生动物疫苗实验室效力试验技术指导原则》中，四、实验室效力试验的内容及方法统计，第（二）条，统计出使动物获得较好保护力（通常应达到80%~100%）。建议将保护</w:t>
      </w:r>
      <w:proofErr w:type="gramStart"/>
      <w:r w:rsidRPr="008316BC">
        <w:rPr>
          <w:rFonts w:ascii="仿宋" w:eastAsia="仿宋" w:hAnsi="仿宋" w:cs="方正仿宋_GB2312" w:hint="eastAsia"/>
          <w:sz w:val="32"/>
          <w:szCs w:val="32"/>
          <w14:ligatures w14:val="standardContextual"/>
        </w:rPr>
        <w:t>力指标</w:t>
      </w:r>
      <w:proofErr w:type="gramEnd"/>
      <w:r w:rsidRPr="008316BC">
        <w:rPr>
          <w:rFonts w:ascii="仿宋" w:eastAsia="仿宋" w:hAnsi="仿宋" w:cs="方正仿宋_GB2312" w:hint="eastAsia"/>
          <w:sz w:val="32"/>
          <w:szCs w:val="32"/>
          <w14:ligatures w14:val="standardContextual"/>
        </w:rPr>
        <w:t>修改为“通常应达到60%以上”。与畜禽动物不同，鱼类的存活率受鱼类固有生物学习性和水环境实验条件等客观因素的限制，并且在疫苗免疫过程中还要受到离水操作和机械应激等因素影响，免疫组80%</w:t>
      </w:r>
      <w:proofErr w:type="gramStart"/>
      <w:r w:rsidRPr="008316BC">
        <w:rPr>
          <w:rFonts w:ascii="仿宋" w:eastAsia="仿宋" w:hAnsi="仿宋" w:cs="方正仿宋_GB2312" w:hint="eastAsia"/>
          <w:sz w:val="32"/>
          <w:szCs w:val="32"/>
          <w14:ligatures w14:val="standardContextual"/>
        </w:rPr>
        <w:t>健活率</w:t>
      </w:r>
      <w:proofErr w:type="gramEnd"/>
      <w:r w:rsidRPr="008316BC">
        <w:rPr>
          <w:rFonts w:ascii="仿宋" w:eastAsia="仿宋" w:hAnsi="仿宋" w:cs="方正仿宋_GB2312" w:hint="eastAsia"/>
          <w:sz w:val="32"/>
          <w:szCs w:val="32"/>
          <w14:ligatures w14:val="standardContextual"/>
        </w:rPr>
        <w:t>在攻毒试验中难以稳定达到，且已有审批通过的鱼类疫苗产品也无法全部达到此标准。</w:t>
      </w:r>
    </w:p>
    <w:p w14:paraId="6E1DB572"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9、转基因生物制品，例如酵母生产生物制品，酵母本身就具有一定的营养价值，有一些不需要提纯，制成酵母喷干粉来应用，转基因酵母喷干粉经过200℃左右的高温失活，且目前的技术通常将片段整合到酵母基因组里，不存在转基因质粒、载体等</w:t>
      </w:r>
      <w:proofErr w:type="gramStart"/>
      <w:r w:rsidRPr="008316BC">
        <w:rPr>
          <w:rFonts w:ascii="仿宋" w:eastAsia="仿宋" w:hAnsi="仿宋" w:cs="方正仿宋_GB2312" w:hint="eastAsia"/>
          <w:sz w:val="32"/>
          <w:szCs w:val="32"/>
          <w14:ligatures w14:val="standardContextual"/>
        </w:rPr>
        <w:t>在转基微生物</w:t>
      </w:r>
      <w:proofErr w:type="gramEnd"/>
      <w:r w:rsidRPr="008316BC">
        <w:rPr>
          <w:rFonts w:ascii="仿宋" w:eastAsia="仿宋" w:hAnsi="仿宋" w:cs="方正仿宋_GB2312" w:hint="eastAsia"/>
          <w:sz w:val="32"/>
          <w:szCs w:val="32"/>
          <w14:ligatures w14:val="standardContextual"/>
        </w:rPr>
        <w:t>中的残留，失活后的这类转基因微生物对环境的影响风险很低。但目前转基因安全评价还是需要中间实验和环境释放试验，完成后申请转基因微生物安全评价证书。这种失活的转基因微生物在转基因安全评价方面是否能降低标准？例如仅进行中间实验测试转基因微生物的安全性，缩短周期。</w:t>
      </w:r>
    </w:p>
    <w:p w14:paraId="04C6C9A8" w14:textId="77777777" w:rsidR="008316BC" w:rsidRPr="008316BC" w:rsidRDefault="008316BC" w:rsidP="008316BC">
      <w:pPr>
        <w:adjustRightInd w:val="0"/>
        <w:snapToGrid w:val="0"/>
        <w:spacing w:beforeLines="100" w:before="312" w:line="360" w:lineRule="auto"/>
        <w:ind w:firstLineChars="100" w:firstLine="321"/>
        <w:rPr>
          <w:rFonts w:ascii="楷体" w:eastAsia="楷体" w:hAnsi="楷体" w:cs="方正仿宋_GB2312"/>
          <w:b/>
          <w:bCs/>
          <w:sz w:val="32"/>
          <w:szCs w:val="32"/>
          <w14:ligatures w14:val="standardContextual"/>
        </w:rPr>
      </w:pPr>
      <w:r w:rsidRPr="008316BC">
        <w:rPr>
          <w:rFonts w:ascii="楷体" w:eastAsia="楷体" w:hAnsi="楷体" w:cs="方正仿宋_GB2312" w:hint="eastAsia"/>
          <w:b/>
          <w:bCs/>
          <w:sz w:val="32"/>
          <w:szCs w:val="32"/>
          <w14:ligatures w14:val="standardContextual"/>
        </w:rPr>
        <w:t>（二）化药、中药</w:t>
      </w:r>
    </w:p>
    <w:p w14:paraId="5932F398"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lastRenderedPageBreak/>
        <w:t>1、一类新化药的非临床药代动力学实验动物为啮齿动物，与水产动物相差甚远，建议评审中心在研发过程中给予指导，颁布针对水产动物的研发流程。</w:t>
      </w:r>
    </w:p>
    <w:p w14:paraId="12B7E597"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2、在以理化条件叠加病原感染的方式建立中兽医证候模型的基础上，用中兽医药理论进行辨证论治，将来的功能主治可否只按照中兽医证候进行描述？</w:t>
      </w:r>
    </w:p>
    <w:p w14:paraId="33EF7D64"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3、《水产养殖用抗菌药物药效实验技术指导原则》受试动物“试验前应在试验环境暂养1~2周”，建议改为暂养3天以上，因为部分实验动物的实验周期可能在一个月以上，暂养时间越久，水产动物的健康状态就会不理想，这本身也会影响到实验结果的可靠性。</w:t>
      </w:r>
    </w:p>
    <w:p w14:paraId="05AA2D43"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4、《水产养殖用抗菌药物药效实验技术指导原则》疾病模型人工感染的感染</w:t>
      </w:r>
      <w:proofErr w:type="gramStart"/>
      <w:r w:rsidRPr="008316BC">
        <w:rPr>
          <w:rFonts w:ascii="仿宋" w:eastAsia="仿宋" w:hAnsi="仿宋" w:cs="方正仿宋_GB2312" w:hint="eastAsia"/>
          <w:sz w:val="32"/>
          <w:szCs w:val="32"/>
          <w14:ligatures w14:val="standardContextual"/>
        </w:rPr>
        <w:t>量选择</w:t>
      </w:r>
      <w:proofErr w:type="gramEnd"/>
      <w:r w:rsidRPr="008316BC">
        <w:rPr>
          <w:rFonts w:ascii="仿宋" w:eastAsia="仿宋" w:hAnsi="仿宋" w:cs="方正仿宋_GB2312" w:hint="eastAsia"/>
          <w:sz w:val="32"/>
          <w:szCs w:val="32"/>
          <w14:ligatures w14:val="standardContextual"/>
        </w:rPr>
        <w:t>中，规定“感染量应为受试动物的最小致死量或能使80%以上感染动物出现明显发病症状的剂量”，在效果评价中规定“感染不给药对照组发病率≥80.0%”，这两处的80%是否可以改为60%？因为水产动物和水环境的特殊性，同一养殖场的不同池塘中，动物健康状况可能也存在一定差异，因此疾病模型建立条件筛选的结果有时不是特别稳定，总会出现一些小的差异，“当个别动物出现临床症状即开始给药”时，有时阳性对照组（感染不给药对照组）的发病率可能达不到80%。</w:t>
      </w:r>
    </w:p>
    <w:p w14:paraId="6C972533"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lastRenderedPageBreak/>
        <w:t>5、《水产养殖用抗菌药物药效实验技术指导原则》数据处理中，“有效率（%）=症状好转动物数/发病动物数×100”，实际上在水产动物药物防治实验中，同一</w:t>
      </w:r>
      <w:proofErr w:type="gramStart"/>
      <w:r w:rsidRPr="008316BC">
        <w:rPr>
          <w:rFonts w:ascii="仿宋" w:eastAsia="仿宋" w:hAnsi="仿宋" w:cs="方正仿宋_GB2312" w:hint="eastAsia"/>
          <w:sz w:val="32"/>
          <w:szCs w:val="32"/>
          <w14:ligatures w14:val="standardContextual"/>
        </w:rPr>
        <w:t>平行组</w:t>
      </w:r>
      <w:proofErr w:type="gramEnd"/>
      <w:r w:rsidRPr="008316BC">
        <w:rPr>
          <w:rFonts w:ascii="仿宋" w:eastAsia="仿宋" w:hAnsi="仿宋" w:cs="方正仿宋_GB2312" w:hint="eastAsia"/>
          <w:sz w:val="32"/>
          <w:szCs w:val="32"/>
          <w14:ligatures w14:val="standardContextual"/>
        </w:rPr>
        <w:t>的动物一般养殖于同一个桶内，很难进行动物编号标识，这样会导致很难记录每个动物临床症状的好转情况，而现有编号方式多数可能会损伤动物皮肤，引入不确定的动物感染风险，因此建议临床试验报告中可暂不体现有效率。</w:t>
      </w:r>
    </w:p>
    <w:p w14:paraId="7D7B08C3"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6、《水产养殖用抗菌药物药效试验技术指导原则（修订稿）》，在第三个基本内容，（四）疾病模型选择中第2条自然感染：致病菌的分离和鉴定以及血清学诊断，其中建议血清学诊断作为可选项，可修改为“血清学诊断或基因分型”。因为，水产动物病原菌种类繁多而且血清型非常复杂，国内缺少病原菌血清学的基础研究，很难获取病原菌的血清抗体，难以满足当前的试验需求。随着分子生物学的快速发展，分子分型（</w:t>
      </w:r>
      <w:proofErr w:type="gramStart"/>
      <w:r w:rsidRPr="008316BC">
        <w:rPr>
          <w:rFonts w:ascii="仿宋" w:eastAsia="仿宋" w:hAnsi="仿宋" w:cs="方正仿宋_GB2312" w:hint="eastAsia"/>
          <w:sz w:val="32"/>
          <w:szCs w:val="32"/>
          <w14:ligatures w14:val="standardContextual"/>
        </w:rPr>
        <w:t>如分子</w:t>
      </w:r>
      <w:proofErr w:type="gramEnd"/>
      <w:r w:rsidRPr="008316BC">
        <w:rPr>
          <w:rFonts w:ascii="仿宋" w:eastAsia="仿宋" w:hAnsi="仿宋" w:cs="方正仿宋_GB2312" w:hint="eastAsia"/>
          <w:sz w:val="32"/>
          <w:szCs w:val="32"/>
          <w14:ligatures w14:val="standardContextual"/>
        </w:rPr>
        <w:t>血清型）在一定程度上可以代替血清学诊断。</w:t>
      </w:r>
    </w:p>
    <w:p w14:paraId="740C2F20"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7、《水产养殖用抗菌药物药效试验技术指导原则（修订稿）》，在第三个基本内容（六）给药方案为：“一般要求在感染后个别动物出现症状即开始给药”，建议修改为“一般要求在感染后0.5～2 h内即可开始给药，或根据临床试验要求适当调整给药时间”。因为水产动物如鱼类人工感染强致病性菌株，其病程较短，例如鲫鱼感染</w:t>
      </w:r>
      <w:proofErr w:type="gramStart"/>
      <w:r w:rsidRPr="008316BC">
        <w:rPr>
          <w:rFonts w:ascii="仿宋" w:eastAsia="仿宋" w:hAnsi="仿宋" w:cs="方正仿宋_GB2312" w:hint="eastAsia"/>
          <w:sz w:val="32"/>
          <w:szCs w:val="32"/>
          <w14:ligatures w14:val="standardContextual"/>
        </w:rPr>
        <w:t>嗜</w:t>
      </w:r>
      <w:proofErr w:type="gramEnd"/>
      <w:r w:rsidRPr="008316BC">
        <w:rPr>
          <w:rFonts w:ascii="仿宋" w:eastAsia="仿宋" w:hAnsi="仿宋" w:cs="方正仿宋_GB2312" w:hint="eastAsia"/>
          <w:sz w:val="32"/>
          <w:szCs w:val="32"/>
          <w14:ligatures w14:val="standardContextual"/>
        </w:rPr>
        <w:t>水气单胞菌后通常在8～24h的累积死亡率可达到80%～100%，当第一例感染病例</w:t>
      </w:r>
      <w:r w:rsidRPr="008316BC">
        <w:rPr>
          <w:rFonts w:ascii="仿宋" w:eastAsia="仿宋" w:hAnsi="仿宋" w:cs="方正仿宋_GB2312" w:hint="eastAsia"/>
          <w:sz w:val="32"/>
          <w:szCs w:val="32"/>
          <w14:ligatures w14:val="standardContextual"/>
        </w:rPr>
        <w:lastRenderedPageBreak/>
        <w:t>出现症状时，很多受试</w:t>
      </w:r>
      <w:proofErr w:type="gramStart"/>
      <w:r w:rsidRPr="008316BC">
        <w:rPr>
          <w:rFonts w:ascii="仿宋" w:eastAsia="仿宋" w:hAnsi="仿宋" w:cs="方正仿宋_GB2312" w:hint="eastAsia"/>
          <w:sz w:val="32"/>
          <w:szCs w:val="32"/>
          <w14:ligatures w14:val="standardContextual"/>
        </w:rPr>
        <w:t>鱼不再</w:t>
      </w:r>
      <w:proofErr w:type="gramEnd"/>
      <w:r w:rsidRPr="008316BC">
        <w:rPr>
          <w:rFonts w:ascii="仿宋" w:eastAsia="仿宋" w:hAnsi="仿宋" w:cs="方正仿宋_GB2312" w:hint="eastAsia"/>
          <w:sz w:val="32"/>
          <w:szCs w:val="32"/>
          <w14:ligatures w14:val="standardContextual"/>
        </w:rPr>
        <w:t>开口吃料，这时如果采用饲喂的方式给药已经太迟了，除非采用灌</w:t>
      </w:r>
      <w:proofErr w:type="gramStart"/>
      <w:r w:rsidRPr="008316BC">
        <w:rPr>
          <w:rFonts w:ascii="仿宋" w:eastAsia="仿宋" w:hAnsi="仿宋" w:cs="方正仿宋_GB2312" w:hint="eastAsia"/>
          <w:sz w:val="32"/>
          <w:szCs w:val="32"/>
          <w14:ligatures w14:val="standardContextual"/>
        </w:rPr>
        <w:t>胃或者</w:t>
      </w:r>
      <w:proofErr w:type="gramEnd"/>
      <w:r w:rsidRPr="008316BC">
        <w:rPr>
          <w:rFonts w:ascii="仿宋" w:eastAsia="仿宋" w:hAnsi="仿宋" w:cs="方正仿宋_GB2312" w:hint="eastAsia"/>
          <w:sz w:val="32"/>
          <w:szCs w:val="32"/>
          <w14:ligatures w14:val="standardContextual"/>
        </w:rPr>
        <w:t>人工注射的方式，这样会造成二次应激或损伤，给试验结果带来很多不确定性。</w:t>
      </w:r>
    </w:p>
    <w:p w14:paraId="1278DC6F"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8、《水产养殖用消毒剂药效试验技术指导原则》，在第三个基本内容：（二）试验方法，第2条，实验室消毒能力测定，（1）定性测定，建议补充96孔板法，该方法也是细菌、真菌常用的药敏试验方法。</w:t>
      </w:r>
    </w:p>
    <w:p w14:paraId="41AD40E7"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9、《水产养殖用消毒剂药效试验技术指导原则》，在第三个基本内容：（二）试验方法，第2条，实验室消毒能力测定，（2）定量测定，“稀释成含菌10</w:t>
      </w:r>
      <w:r w:rsidRPr="008316BC">
        <w:rPr>
          <w:rFonts w:ascii="仿宋" w:eastAsia="仿宋" w:hAnsi="仿宋" w:cs="方正仿宋_GB2312" w:hint="eastAsia"/>
          <w:sz w:val="32"/>
          <w:szCs w:val="32"/>
          <w:vertAlign w:val="superscript"/>
          <w14:ligatures w14:val="standardContextual"/>
        </w:rPr>
        <w:t>6</w:t>
      </w:r>
      <w:r w:rsidRPr="008316BC">
        <w:rPr>
          <w:rFonts w:ascii="仿宋" w:eastAsia="仿宋" w:hAnsi="仿宋" w:cs="方正仿宋_GB2312" w:hint="eastAsia"/>
          <w:sz w:val="32"/>
          <w:szCs w:val="32"/>
          <w14:ligatures w14:val="standardContextual"/>
        </w:rPr>
        <w:t>~10</w:t>
      </w:r>
      <w:r w:rsidRPr="008316BC">
        <w:rPr>
          <w:rFonts w:ascii="仿宋" w:eastAsia="仿宋" w:hAnsi="仿宋" w:cs="方正仿宋_GB2312" w:hint="eastAsia"/>
          <w:sz w:val="32"/>
          <w:szCs w:val="32"/>
          <w:vertAlign w:val="superscript"/>
          <w14:ligatures w14:val="standardContextual"/>
        </w:rPr>
        <w:t>7</w:t>
      </w:r>
      <w:r w:rsidRPr="008316BC">
        <w:rPr>
          <w:rFonts w:ascii="仿宋" w:eastAsia="仿宋" w:hAnsi="仿宋" w:cs="方正仿宋_GB2312" w:hint="eastAsia"/>
          <w:sz w:val="32"/>
          <w:szCs w:val="32"/>
          <w14:ligatures w14:val="standardContextual"/>
        </w:rPr>
        <w:t xml:space="preserve"> CFU/mL”; 第3条，养殖水体现场消毒试验，（1）目标病原菌养殖水体现场消毒试验，“使水体中菌液浓度为10</w:t>
      </w:r>
      <w:r w:rsidRPr="008316BC">
        <w:rPr>
          <w:rFonts w:ascii="仿宋" w:eastAsia="仿宋" w:hAnsi="仿宋" w:cs="方正仿宋_GB2312" w:hint="eastAsia"/>
          <w:sz w:val="32"/>
          <w:szCs w:val="32"/>
          <w:vertAlign w:val="superscript"/>
          <w14:ligatures w14:val="standardContextual"/>
        </w:rPr>
        <w:t>5</w:t>
      </w:r>
      <w:r w:rsidRPr="008316BC">
        <w:rPr>
          <w:rFonts w:ascii="仿宋" w:eastAsia="仿宋" w:hAnsi="仿宋" w:cs="方正仿宋_GB2312" w:hint="eastAsia"/>
          <w:sz w:val="32"/>
          <w:szCs w:val="32"/>
          <w14:ligatures w14:val="standardContextual"/>
        </w:rPr>
        <w:t>~10</w:t>
      </w:r>
      <w:r w:rsidRPr="008316BC">
        <w:rPr>
          <w:rFonts w:ascii="仿宋" w:eastAsia="仿宋" w:hAnsi="仿宋" w:cs="方正仿宋_GB2312" w:hint="eastAsia"/>
          <w:sz w:val="32"/>
          <w:szCs w:val="32"/>
          <w:vertAlign w:val="superscript"/>
          <w14:ligatures w14:val="standardContextual"/>
        </w:rPr>
        <w:t>6</w:t>
      </w:r>
      <w:r w:rsidRPr="008316BC">
        <w:rPr>
          <w:rFonts w:ascii="仿宋" w:eastAsia="仿宋" w:hAnsi="仿宋" w:cs="方正仿宋_GB2312" w:hint="eastAsia"/>
          <w:sz w:val="32"/>
          <w:szCs w:val="32"/>
          <w14:ligatures w14:val="standardContextual"/>
        </w:rPr>
        <w:t xml:space="preserve"> CFU/mL”；（三）效果评价，2.测试消毒效能，其杀菌率或病毒灭活率应达99.9%以上。测试杀菌（灭毒）效能，其杀菌率或病毒灭活率须达100%。建议将实验室消毒能力测定和养殖水体现场消毒试验菌液浓度</w:t>
      </w:r>
      <w:proofErr w:type="gramStart"/>
      <w:r w:rsidRPr="008316BC">
        <w:rPr>
          <w:rFonts w:ascii="仿宋" w:eastAsia="仿宋" w:hAnsi="仿宋" w:cs="方正仿宋_GB2312" w:hint="eastAsia"/>
          <w:sz w:val="32"/>
          <w:szCs w:val="32"/>
          <w14:ligatures w14:val="standardContextual"/>
        </w:rPr>
        <w:t>均修改</w:t>
      </w:r>
      <w:proofErr w:type="gramEnd"/>
      <w:r w:rsidRPr="008316BC">
        <w:rPr>
          <w:rFonts w:ascii="仿宋" w:eastAsia="仿宋" w:hAnsi="仿宋" w:cs="方正仿宋_GB2312" w:hint="eastAsia"/>
          <w:sz w:val="32"/>
          <w:szCs w:val="32"/>
          <w14:ligatures w14:val="standardContextual"/>
        </w:rPr>
        <w:t>为10</w:t>
      </w:r>
      <w:r w:rsidRPr="008316BC">
        <w:rPr>
          <w:rFonts w:ascii="仿宋" w:eastAsia="仿宋" w:hAnsi="仿宋" w:cs="方正仿宋_GB2312" w:hint="eastAsia"/>
          <w:sz w:val="32"/>
          <w:szCs w:val="32"/>
          <w:vertAlign w:val="superscript"/>
          <w14:ligatures w14:val="standardContextual"/>
        </w:rPr>
        <w:t>3</w:t>
      </w:r>
      <w:r w:rsidRPr="008316BC">
        <w:rPr>
          <w:rFonts w:ascii="仿宋" w:eastAsia="仿宋" w:hAnsi="仿宋" w:cs="方正仿宋_GB2312" w:hint="eastAsia"/>
          <w:sz w:val="32"/>
          <w:szCs w:val="32"/>
          <w14:ligatures w14:val="standardContextual"/>
        </w:rPr>
        <w:t>~10</w:t>
      </w:r>
      <w:r w:rsidRPr="008316BC">
        <w:rPr>
          <w:rFonts w:ascii="仿宋" w:eastAsia="仿宋" w:hAnsi="仿宋" w:cs="方正仿宋_GB2312" w:hint="eastAsia"/>
          <w:sz w:val="32"/>
          <w:szCs w:val="32"/>
          <w:vertAlign w:val="superscript"/>
          <w14:ligatures w14:val="standardContextual"/>
        </w:rPr>
        <w:t>4</w:t>
      </w:r>
      <w:r w:rsidRPr="008316BC">
        <w:rPr>
          <w:rFonts w:ascii="仿宋" w:eastAsia="仿宋" w:hAnsi="仿宋" w:cs="方正仿宋_GB2312" w:hint="eastAsia"/>
          <w:sz w:val="32"/>
          <w:szCs w:val="32"/>
          <w14:ligatures w14:val="standardContextual"/>
        </w:rPr>
        <w:t xml:space="preserve"> CFU/mL，杀菌率或病毒灭活率达到80%以上。与畜禽养殖不同，水产养殖的消毒是针对养殖水体的消毒，而养殖动物生活中养殖水体中，因此是带动物消毒。在真实养殖生产中，特定目标病原菌在养殖水体中高于10</w:t>
      </w:r>
      <w:r w:rsidRPr="008316BC">
        <w:rPr>
          <w:rFonts w:ascii="仿宋" w:eastAsia="仿宋" w:hAnsi="仿宋" w:cs="方正仿宋_GB2312" w:hint="eastAsia"/>
          <w:sz w:val="32"/>
          <w:szCs w:val="32"/>
          <w:vertAlign w:val="superscript"/>
          <w14:ligatures w14:val="standardContextual"/>
        </w:rPr>
        <w:t xml:space="preserve">5 </w:t>
      </w:r>
      <w:r w:rsidRPr="008316BC">
        <w:rPr>
          <w:rFonts w:ascii="仿宋" w:eastAsia="仿宋" w:hAnsi="仿宋" w:cs="方正仿宋_GB2312" w:hint="eastAsia"/>
          <w:sz w:val="32"/>
          <w:szCs w:val="32"/>
          <w14:ligatures w14:val="standardContextual"/>
        </w:rPr>
        <w:t>CFU/mL的情况基本不存在，只有在疾病大规模爆发的后期或水体遭到严重污染的极个别情况下，病原菌才会达到这一浓度。并且，将水体中这么高病原菌浓度100%杀灭所需要使用</w:t>
      </w:r>
      <w:r w:rsidRPr="008316BC">
        <w:rPr>
          <w:rFonts w:ascii="仿宋" w:eastAsia="仿宋" w:hAnsi="仿宋" w:cs="方正仿宋_GB2312" w:hint="eastAsia"/>
          <w:sz w:val="32"/>
          <w:szCs w:val="32"/>
          <w14:ligatures w14:val="standardContextual"/>
        </w:rPr>
        <w:lastRenderedPageBreak/>
        <w:t>的消毒剂浓度（剂量）一般对养殖动物也已经远超安全使用浓度，对养殖动物本身也存在极高的致死风险。</w:t>
      </w:r>
    </w:p>
    <w:p w14:paraId="2E9FA8B3" w14:textId="77777777" w:rsidR="008316BC" w:rsidRPr="008316BC" w:rsidRDefault="008316BC" w:rsidP="008316BC">
      <w:pPr>
        <w:widowControl/>
        <w:spacing w:line="360" w:lineRule="auto"/>
        <w:ind w:firstLineChars="200" w:firstLine="640"/>
        <w:rPr>
          <w:rFonts w:ascii="仿宋" w:eastAsia="仿宋" w:hAnsi="仿宋" w:cs="方正仿宋_GB2312"/>
          <w:sz w:val="32"/>
          <w:szCs w:val="32"/>
          <w14:ligatures w14:val="standardContextual"/>
        </w:rPr>
      </w:pPr>
    </w:p>
    <w:p w14:paraId="3E179925" w14:textId="77777777" w:rsidR="008316BC" w:rsidRPr="008316BC" w:rsidRDefault="008316BC" w:rsidP="008316BC">
      <w:pPr>
        <w:widowControl/>
        <w:spacing w:line="360" w:lineRule="auto"/>
        <w:jc w:val="right"/>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中国渔业</w:t>
      </w:r>
      <w:proofErr w:type="gramStart"/>
      <w:r w:rsidRPr="008316BC">
        <w:rPr>
          <w:rFonts w:ascii="仿宋" w:eastAsia="仿宋" w:hAnsi="仿宋" w:cs="方正仿宋_GB2312" w:hint="eastAsia"/>
          <w:sz w:val="32"/>
          <w:szCs w:val="32"/>
          <w14:ligatures w14:val="standardContextual"/>
        </w:rPr>
        <w:t>协会渔药与</w:t>
      </w:r>
      <w:proofErr w:type="gramEnd"/>
      <w:r w:rsidRPr="008316BC">
        <w:rPr>
          <w:rFonts w:ascii="仿宋" w:eastAsia="仿宋" w:hAnsi="仿宋" w:cs="方正仿宋_GB2312" w:hint="eastAsia"/>
          <w:sz w:val="32"/>
          <w:szCs w:val="32"/>
          <w14:ligatures w14:val="standardContextual"/>
        </w:rPr>
        <w:t>调水用品分会</w:t>
      </w:r>
    </w:p>
    <w:p w14:paraId="2A5AEA2C" w14:textId="77777777" w:rsidR="008316BC" w:rsidRPr="008316BC" w:rsidRDefault="008316BC" w:rsidP="008316BC">
      <w:pPr>
        <w:widowControl/>
        <w:spacing w:line="360" w:lineRule="auto"/>
        <w:ind w:firstLineChars="1600" w:firstLine="5120"/>
        <w:rPr>
          <w:rFonts w:ascii="仿宋" w:eastAsia="仿宋" w:hAnsi="仿宋" w:cs="方正仿宋_GB2312"/>
          <w:sz w:val="32"/>
          <w:szCs w:val="32"/>
          <w14:ligatures w14:val="standardContextual"/>
        </w:rPr>
      </w:pPr>
      <w:r w:rsidRPr="008316BC">
        <w:rPr>
          <w:rFonts w:ascii="仿宋" w:eastAsia="仿宋" w:hAnsi="仿宋" w:cs="方正仿宋_GB2312" w:hint="eastAsia"/>
          <w:sz w:val="32"/>
          <w:szCs w:val="32"/>
          <w14:ligatures w14:val="standardContextual"/>
        </w:rPr>
        <w:t>2026年6月10日</w:t>
      </w:r>
    </w:p>
    <w:p w14:paraId="7CD669A1" w14:textId="77777777" w:rsidR="008316BC" w:rsidRPr="008316BC" w:rsidRDefault="008316BC" w:rsidP="008316BC">
      <w:pPr>
        <w:widowControl/>
        <w:ind w:firstLineChars="1700" w:firstLine="5440"/>
        <w:rPr>
          <w:rFonts w:ascii="仿宋" w:eastAsia="仿宋" w:hAnsi="仿宋" w:cs="方正仿宋_GB2312"/>
          <w:color w:val="000000"/>
          <w:kern w:val="0"/>
          <w:sz w:val="32"/>
          <w:szCs w:val="32"/>
        </w:rPr>
      </w:pPr>
    </w:p>
    <w:p w14:paraId="2F9F6144" w14:textId="0D26CD89" w:rsidR="00932712" w:rsidRPr="008316BC" w:rsidRDefault="00932712" w:rsidP="008316BC">
      <w:pPr>
        <w:rPr>
          <w:rFonts w:ascii="仿宋" w:eastAsia="仿宋" w:hAnsi="仿宋"/>
          <w:sz w:val="32"/>
          <w:szCs w:val="32"/>
        </w:rPr>
      </w:pPr>
    </w:p>
    <w:sectPr w:rsidR="00932712" w:rsidRPr="008316B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23C37" w14:textId="77777777" w:rsidR="00C20851" w:rsidRDefault="00C20851" w:rsidP="001763AC">
      <w:r>
        <w:separator/>
      </w:r>
    </w:p>
  </w:endnote>
  <w:endnote w:type="continuationSeparator" w:id="0">
    <w:p w14:paraId="752B5820" w14:textId="77777777" w:rsidR="00C20851" w:rsidRDefault="00C20851" w:rsidP="00176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_GB2312">
    <w:altName w:val="微软雅黑"/>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7AE2" w14:textId="77777777" w:rsidR="001E0EB1" w:rsidRDefault="00000000">
    <w:pPr>
      <w:pStyle w:val="a5"/>
    </w:pPr>
    <w:r>
      <w:rPr>
        <w:noProof/>
      </w:rPr>
      <mc:AlternateContent>
        <mc:Choice Requires="wps">
          <w:drawing>
            <wp:anchor distT="0" distB="0" distL="114300" distR="114300" simplePos="0" relativeHeight="251659264" behindDoc="0" locked="0" layoutInCell="1" allowOverlap="1" wp14:anchorId="49A3388C" wp14:editId="15BD417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89F48EA" w14:textId="77777777" w:rsidR="001E0EB1"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A3388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" filled="f" fillcolor="white [3201]" stroked="f" strokeweight=".5pt">
              <v:textbox style="mso-fit-shape-to-text:t" inset="0,0,0,0">
                <w:txbxContent>
                  <w:p w14:paraId="489F48EA" w14:textId="77777777" w:rsidR="001E0EB1"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50D90" w14:textId="77777777" w:rsidR="00C20851" w:rsidRDefault="00C20851" w:rsidP="001763AC">
      <w:r>
        <w:separator/>
      </w:r>
    </w:p>
  </w:footnote>
  <w:footnote w:type="continuationSeparator" w:id="0">
    <w:p w14:paraId="654ABBF3" w14:textId="77777777" w:rsidR="00C20851" w:rsidRDefault="00C20851" w:rsidP="00176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E9"/>
    <w:rsid w:val="00141032"/>
    <w:rsid w:val="001763AC"/>
    <w:rsid w:val="002274C3"/>
    <w:rsid w:val="002412F9"/>
    <w:rsid w:val="00634BE9"/>
    <w:rsid w:val="00693734"/>
    <w:rsid w:val="008316BC"/>
    <w:rsid w:val="008D569C"/>
    <w:rsid w:val="00932712"/>
    <w:rsid w:val="00B50F4A"/>
    <w:rsid w:val="00C20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B0E31D-4225-4167-B6D2-AAA76294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63AC"/>
    <w:pPr>
      <w:tabs>
        <w:tab w:val="center" w:pos="4153"/>
        <w:tab w:val="right" w:pos="8306"/>
      </w:tabs>
      <w:snapToGrid w:val="0"/>
      <w:jc w:val="center"/>
    </w:pPr>
    <w:rPr>
      <w:sz w:val="18"/>
      <w:szCs w:val="18"/>
    </w:rPr>
  </w:style>
  <w:style w:type="character" w:customStyle="1" w:styleId="a4">
    <w:name w:val="页眉 字符"/>
    <w:basedOn w:val="a0"/>
    <w:link w:val="a3"/>
    <w:uiPriority w:val="99"/>
    <w:rsid w:val="001763AC"/>
    <w:rPr>
      <w:sz w:val="18"/>
      <w:szCs w:val="18"/>
    </w:rPr>
  </w:style>
  <w:style w:type="paragraph" w:styleId="a5">
    <w:name w:val="footer"/>
    <w:basedOn w:val="a"/>
    <w:link w:val="a6"/>
    <w:uiPriority w:val="99"/>
    <w:unhideWhenUsed/>
    <w:rsid w:val="001763AC"/>
    <w:pPr>
      <w:tabs>
        <w:tab w:val="center" w:pos="4153"/>
        <w:tab w:val="right" w:pos="8306"/>
      </w:tabs>
      <w:snapToGrid w:val="0"/>
      <w:jc w:val="left"/>
    </w:pPr>
    <w:rPr>
      <w:sz w:val="18"/>
      <w:szCs w:val="18"/>
    </w:rPr>
  </w:style>
  <w:style w:type="character" w:customStyle="1" w:styleId="a6">
    <w:name w:val="页脚 字符"/>
    <w:basedOn w:val="a0"/>
    <w:link w:val="a5"/>
    <w:uiPriority w:val="99"/>
    <w:rsid w:val="001763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2067</Words>
  <Characters>2130</Characters>
  <Application>Microsoft Office Word</Application>
  <DocSecurity>0</DocSecurity>
  <Lines>101</Lines>
  <Paragraphs>44</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芸 闫</dc:creator>
  <cp:keywords/>
  <dc:description/>
  <cp:lastModifiedBy>芸 闫</cp:lastModifiedBy>
  <cp:revision>4</cp:revision>
  <dcterms:created xsi:type="dcterms:W3CDTF">2026-06-26T02:03:00Z</dcterms:created>
  <dcterms:modified xsi:type="dcterms:W3CDTF">2026-06-26T02:30:00Z</dcterms:modified>
</cp:coreProperties>
</file>